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85" w:rsidRPr="006D0C3E" w:rsidRDefault="006D0C3E" w:rsidP="00D939F7">
      <w:pPr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Ž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NJ</w:t>
      </w:r>
      <w:r w:rsidR="00E61F85"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</w:t>
      </w:r>
    </w:p>
    <w:p w:rsidR="00E61F85" w:rsidRPr="006D0C3E" w:rsidRDefault="00E61F85" w:rsidP="00D939F7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ab/>
        <w:t xml:space="preserve">I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USTAVNI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OSNOV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14,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75–81.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97.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jemči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ravnopravnosti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očuvanja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identiteta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načelo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normativno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razrađeno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75–81.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zajemčena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građanima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zajemčena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dodatna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individualna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kolektivna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kolektivnih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predstavnika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odlučivanju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odlučuju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vezanim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izabrati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76-81,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zajemčena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ravnopravnost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zabrana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diskrimincije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uvođenja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privremenih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postizanja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ravnopravnosti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76),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garantovano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upravljanju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stupaju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funkcije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ostali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građani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77),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zabrana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nasilne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asimilacije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78),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zajamčeno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očuvanje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79),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udruživanje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sunarodnicima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80)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države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podstiče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tolerancije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međukulturnog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dijaloga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preduzima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efikasne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uzajamnog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poštovanja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razumevanja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ljudima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žive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njihov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etnički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jezički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verski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identitet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81).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97.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sloboda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ab/>
        <w:t xml:space="preserve">II.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svrstati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grupa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Akcionim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usvojila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Akcionog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pregovaračko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poglavlje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23,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opredelila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strateško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institucionalnog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zakonodavnog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okvira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ljudskih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oličeni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povodom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inicijativa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ocenu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2014.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kasirao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zadržao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snazi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uslovom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tumače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izloženo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ujednačene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sigurnosti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saradnje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Vladom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republičkim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grupu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preporuke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relevantnih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sklopu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monitoringa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upućene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ugovornici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istaći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Savetodavni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komitet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Okvirne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konvencije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sugerisao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smanji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prekomernu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politizaciju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svojevrsnu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podelu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Naposletku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sastoje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usaglašavanja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bližeg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normativnog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ukazala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istaći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predložene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sferi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biračkim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spiskovima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dostavljanja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delokrug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spadaju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saradnji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bližeg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normativnog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ukazala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ab/>
        <w:t xml:space="preserve">III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OBJAŠNJENJE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POJEDINAČNIH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REŠENJA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rečima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položaj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proističe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(I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-882/2010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20/14)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stanovište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6D0C3E">
        <w:rPr>
          <w:noProof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rist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mušk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buhv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nsk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proističe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izneo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nedržavna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institucionalni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zajamčene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nosioci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opredeljenim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Budući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definiciju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definicija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pripremljena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izloženim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shvatanjem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učestvuje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smatrao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nužno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preformulisati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srpsk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ćirilčk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a, 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je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dviđ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tut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upisivati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gist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paraleno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zivivom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srpsk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ćiriličk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uočeno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trebalo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upisivati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datum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datum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).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raspušten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obustavljanja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raspušten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njegovih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smanjen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ispod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polovine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stanovište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postojeći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sastoji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činjenici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njegovih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smanjen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ispod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polovine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iziskuje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normativno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neopodno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njegovih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smanjen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ispod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polovine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listama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kandidata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podnosioci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lista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dobili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mandat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gubi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boljom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saradnjom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koordinaciojm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obavezu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nužno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delokrugu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dostavljaju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prijavi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registrovano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raspolaganja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kvalitet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analogna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korišćenju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raspolaganju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nedržavnih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nosioci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udruženja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imovina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koristiti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onemogućava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prerastu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subjekte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učesnike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tržišnih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imovina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prenositi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povezanim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imovina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stečena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imovina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imovina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stečena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donacija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9.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zaista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najjače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snage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poslovnik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ništave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suprotnosti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ništavosti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pripreme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stanovište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krug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uvršteni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trećina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subjekti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interes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ništavost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susresti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problemom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dosadašnju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uređivala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simbola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pečata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dodatno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udruženjima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predloženo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pečat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simbol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identični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pečatu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simbolu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uredno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prijavljen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izazivati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zabunu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njegovih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ciljeva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tačaka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5), 5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regulisati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preporukama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relevantnih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okvirima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svojevrsna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odgovara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njegov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korišćenju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raspolaganju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izvršavanju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izvršavanju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poverena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stručnjaci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stručn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nespojivosti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preporukama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relevantnih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rukovodećih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litičk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exempli causa,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predsednik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predsedništvo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izabrano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drž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insk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,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dinic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kvirim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dluču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je 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mandat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prestaje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postavljenjem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nespojivi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Prestanak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mandata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konstatuje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prvoj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narednoj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sednici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nastupanju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izazivalo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izvesne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nedoumice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kontekstu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utroška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namenjena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zasnovati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mandata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dakle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zasnovali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nalazima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relevantnih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domaćih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civilnog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često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isticano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dovoljno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transparentan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prepoznatljiva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široj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društvenoj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zajednici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8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dluk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ja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deset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internet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oja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zičn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srpskom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određen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oglasnoj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tabli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dnevnim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pogodan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prilikom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povredi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privatnost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8.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9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4.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istekao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mandat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tekuće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neodložne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poslove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dosadašnje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obavljao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i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i/>
          <w:noProof/>
          <w:sz w:val="24"/>
          <w:szCs w:val="24"/>
          <w:lang w:val="sr-Latn-CS"/>
        </w:rPr>
        <w:t>nadležnosti</w:t>
      </w:r>
      <w:r w:rsidRPr="006D0C3E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i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i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shvatanjem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izloženo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kvalitetno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jednoobrazno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normirana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posvećen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unošenjem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tačaka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 11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inicira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tačakama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10), 11), 12)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13)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ostalih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ocene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zadržao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snazi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uslovom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tumače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izložio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kakvoj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garantovana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.10),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pokreće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Zaštitnikom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ombudsmanom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proceni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došlo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garantovanih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sloboda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12),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menjaju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budući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predlagač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inicira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pritužbu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zaštitniku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ombudsmanu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proceni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došlo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garantovanih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sloboda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pritužbu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12)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Najveći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tehničke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odeljka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dopunjuje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publik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a, 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dinic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ao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limičn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18.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istakao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zakonodavac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pojam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vaspitanja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tradicionalno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meri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zagarantovano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vaspitanje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koliko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maksimalno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proglasiti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kontekstu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upravljanju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12-15.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prosvete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materije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utvrđivanju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predškolskog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nastavnih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srednjeg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udžbenika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različitih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tehničke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odeljka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dopunjuje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publik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a, 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dinic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ao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limičn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Nadalje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pretežno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proučavanje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očuvanje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predstavljanje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naročitog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zadovoljavanje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specifičnih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utvrditi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imenuje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aje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e.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očuvanje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identiteta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imenuju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zajedničkog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18.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11.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usaglašeni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19-21.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ujednačavanje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19.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informisanje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fondacije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opštekorisnog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unapređenja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fondacije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izdavač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moraju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usaglašeni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uvrštava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elektronskim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predlaganja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regulatornog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elektronske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skupštine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podnesu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obrazložen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kandidata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regulatornog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elektronske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procedurom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regulatornog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kandidata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dolazi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zajedničkim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dogovorom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elektronskim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usaglašena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skupština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plenarnoj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sednici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glasanjem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kandidata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predloženih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regulatornog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elektronske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spadaju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: 1)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strategije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strategijom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2)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raspodelu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projekte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prilažu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konkurs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raspisuje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podizanja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kvaliteta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3)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preporuka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odborima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servisa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4)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kandidatima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odgovorne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urednike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servisima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servisi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urednike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servisa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dopunjuje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tradicionalno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geografski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nazivi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objavljuju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glasilu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inicira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objavljivanje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najvažnijih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pruža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stručnu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pomoć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mogućnostima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prevođenja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olakšava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implementacija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omogućava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implementaciji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proističe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povelje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jezicima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prevodi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najznačajnijih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tekstova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9)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odlučuje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poverena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izostavlja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poveriti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nemaju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izvorne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života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povereni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dalje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prenositi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nedržavnim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subjektima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Veliki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proističu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republičkim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25-27.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28.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republičkim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Vladom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sklopu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segmenta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ministarstvima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inicijative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podneti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inicijativu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ukidanje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poništenje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dosadašnjeg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inicijativu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podnese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ukidanje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poništenje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državnih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dvosmerno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29.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delokrug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spadaju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ostvaruju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deset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tražene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proističu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27.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spovoditi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poštovanje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teritorijalnog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poretka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spušt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stupk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je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oj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listama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kandidata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podnosioci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lista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dobili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mandat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uvrštene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39.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mediji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izveštavaju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terminološko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informisanja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reči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zamenjuju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rečima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: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.”(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).</w:t>
      </w:r>
    </w:p>
    <w:p w:rsidR="00E61F85" w:rsidRPr="006D0C3E" w:rsidRDefault="006D0C3E" w:rsidP="00D939F7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43.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34.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izbor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nacionalnog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saveta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pitanja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nisu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uređena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ovim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zakonom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shodno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primenjuju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odredbe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kojim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uređuje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izbor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narodnih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poslanika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kojim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uređuje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upravni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spor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se</w:t>
      </w:r>
      <w:r w:rsidR="00E61F85" w:rsidRPr="006D0C3E">
        <w:rPr>
          <w:rFonts w:ascii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sr-Latn-CS"/>
        </w:rPr>
        <w:t>n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stvarima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nužna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usvajanja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48, 50.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birački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olakšava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regulišu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njemu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48.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preuzima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jedinstvenog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biračkog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ažuriranje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biračkom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osetljivi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podaci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svakoj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promeni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50.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drži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oj,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prezime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birača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pripadnost</w:t>
      </w:r>
      <w:r w:rsidRPr="006D0C3E">
        <w:rPr>
          <w:noProof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njegov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jedinstveni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tični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oj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građana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tum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đ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lišt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a,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dinicu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ojoj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lišt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višt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o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52.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38.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ht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 je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dinic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e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lišt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boravišta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interno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raseljena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istovetne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uvrštena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kontekstu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brisanje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biračkog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spiska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Veliki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utrošak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potiču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transparentnost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utrošku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disciplina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sistemskim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zakonodavstvu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39.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usvaja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završni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sastavni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završnog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finasijski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izvršenju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učinku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obrazloženjem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usvaja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modelu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prihodi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rashodi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usklađeni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ovlašćenjima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stvara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lakše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praćenje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utroška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usvaja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korisniku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opredeljena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usvaja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finasijski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statističke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računovodstvo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učinku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korisniku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opredeljena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namenskoj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donošenja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finansijskog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izveštaja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završnog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računa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lang w:val="sr-Latn-CS"/>
        </w:rPr>
        <w:t>primerak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izveštaja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računa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dostavlja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korisniku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budžetskih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kod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koga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opredeljena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materija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korišćenja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stečena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najpre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stečena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koristiti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redovne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redovne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spadaju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: 1)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fondacija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celini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spadaju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: 1)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iznajmljivanje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prostorija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2)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zarade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porezi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3)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honorari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obavljen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4)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putni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dnevnice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putovanja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5)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nabavka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kancelarijskog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materijala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opreme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6)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knjigovodstvene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; 7)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revizije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8)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održavanja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internet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stranice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predupredila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isključivog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utroška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troškova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iznositi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50%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opredeljenih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materija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visine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načina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raspodele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potiču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autonomne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pokrajine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Vojvodine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raspoređuju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30%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jednakim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iznosima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registrovanim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ostatak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(70%)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srazmerno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rezultatima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poslednjeg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popisa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ukupnom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fondacija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celini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Suština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izloženim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sastoji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preciziranju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kriterijuma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raspodelu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ukupan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kriterijum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raspodelu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ukupan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obimu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Budući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pojam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”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neodređen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zakonskom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stanovište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kriterijum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raspodelu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fondacije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društava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suosnivač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osnivačka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celini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raspodeli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donosi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opredeljena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regulisanju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doznačavati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planu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rashodi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namenama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evidentirane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naloge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prinudnoj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naplati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onemogućava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nenamenski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utrošak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obavezni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evidentirane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naloge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prinudnoj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naplati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moguće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kriterijume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raspodelu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AP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Vojvodina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zapravo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dosadašnjih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obavezuju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kriterijume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raspodelu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Značajnu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predstvljaju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odlukom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raspoređuju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1),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stanovništvu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dostižu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10%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ukupnog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stanovništva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teritoriji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3).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obavezom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vođenje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knjigovodstvene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revizije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ostalog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knjigovodstvene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prihoda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rashoda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pomoćne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evidencije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godišnje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revizije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međunarodna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računovodstvena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revizorska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regulativa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revizije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inspekcijske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kvartalnih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izveštaja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utvrdi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namenski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koristio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dotaciju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obustavlja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otklanjanja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nepravilnosti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iznetih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mišljenju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revizora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6.).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korisnik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dotaciju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obustavi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nalaže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otklanjanje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nepravilnosti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iznetih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mišljenju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revizora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onemogućava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eventualno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nenamensko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korišćenje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119.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upravlja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dodeljuju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konkursa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projekata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obrazovanja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obaveštavanja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upotrebe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jezika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pisma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dodele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bliže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stvara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Budžetski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fond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postane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operativan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 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44.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1.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120.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resornih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vršenju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nadzora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zakonitošću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45.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izmenjen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važeći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121.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pokrenuti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ocenu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zakonitosti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opšteg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Ustavom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 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46.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dosadašnji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122.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njihovim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pojedinačnim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novim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nađe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pojedinačni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koga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sudska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statutom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predložiti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ukine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poništi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predlogu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nadležno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ukinuti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poništiti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Izložene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potpunosti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analogne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istovetnu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situaciju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propisana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logično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vid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kontrole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primeni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oblik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neteritorijalne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Latn-CS"/>
        </w:rPr>
      </w:pPr>
      <w:r w:rsidRPr="006D0C3E">
        <w:rPr>
          <w:noProof/>
          <w:lang w:val="sr-Latn-CS"/>
        </w:rPr>
        <w:tab/>
      </w:r>
      <w:r w:rsidR="006D0C3E">
        <w:rPr>
          <w:noProof/>
          <w:lang w:val="sr-Latn-CS"/>
        </w:rPr>
        <w:t>U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čl</w:t>
      </w:r>
      <w:r w:rsidRPr="006D0C3E">
        <w:rPr>
          <w:noProof/>
          <w:lang w:val="sr-Latn-CS"/>
        </w:rPr>
        <w:t xml:space="preserve">. 47. </w:t>
      </w:r>
      <w:r w:rsidR="006D0C3E">
        <w:rPr>
          <w:noProof/>
          <w:lang w:val="sr-Latn-CS"/>
        </w:rPr>
        <w:t>i</w:t>
      </w:r>
      <w:r w:rsidRPr="006D0C3E">
        <w:rPr>
          <w:noProof/>
          <w:lang w:val="sr-Latn-CS"/>
        </w:rPr>
        <w:t xml:space="preserve"> 48. </w:t>
      </w:r>
      <w:r w:rsidR="006D0C3E">
        <w:rPr>
          <w:noProof/>
          <w:lang w:val="sr-Latn-CS"/>
        </w:rPr>
        <w:t>Predloga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 xml:space="preserve">, </w:t>
      </w:r>
      <w:r w:rsidR="006D0C3E">
        <w:rPr>
          <w:noProof/>
          <w:lang w:val="sr-Latn-CS"/>
        </w:rPr>
        <w:t>vrše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izmene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kaznenih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odredbi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važećeg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 xml:space="preserve">. </w:t>
      </w:r>
      <w:r w:rsidR="006D0C3E">
        <w:rPr>
          <w:noProof/>
          <w:lang w:val="sr-Latn-CS"/>
        </w:rPr>
        <w:t>Članom</w:t>
      </w:r>
      <w:r w:rsidRPr="006D0C3E">
        <w:rPr>
          <w:noProof/>
          <w:lang w:val="sr-Latn-CS"/>
        </w:rPr>
        <w:t xml:space="preserve"> 47. </w:t>
      </w:r>
      <w:r w:rsidR="006D0C3E">
        <w:rPr>
          <w:noProof/>
          <w:lang w:val="sr-Latn-CS"/>
        </w:rPr>
        <w:t>Predloga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menja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član</w:t>
      </w:r>
      <w:r w:rsidRPr="006D0C3E">
        <w:rPr>
          <w:noProof/>
          <w:lang w:val="sr-Latn-CS"/>
        </w:rPr>
        <w:t xml:space="preserve"> 123. </w:t>
      </w:r>
      <w:r w:rsidR="006D0C3E">
        <w:rPr>
          <w:noProof/>
          <w:lang w:val="sr-Latn-CS"/>
        </w:rPr>
        <w:t>važećeg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tako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što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prekršajne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kazne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predviđaju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odgovorno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lice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u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nadležnom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organu</w:t>
      </w:r>
      <w:r w:rsidRPr="006D0C3E">
        <w:rPr>
          <w:noProof/>
          <w:lang w:val="sr-Latn-CS"/>
        </w:rPr>
        <w:t xml:space="preserve">, </w:t>
      </w:r>
      <w:r w:rsidR="006D0C3E">
        <w:rPr>
          <w:noProof/>
          <w:lang w:val="sr-Latn-CS"/>
        </w:rPr>
        <w:t>ne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samo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slučaj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da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ne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sprovede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ili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protivno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odredbama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zakona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sprovede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upis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ili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brisanje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birača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iz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posebnog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biračkog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spiska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shd w:val="clear" w:color="auto" w:fill="FFFFFF"/>
          <w:lang w:val="sr-Latn-CS"/>
        </w:rPr>
        <w:t>i</w:t>
      </w:r>
      <w:r w:rsidRPr="006D0C3E">
        <w:rPr>
          <w:noProof/>
          <w:shd w:val="clear" w:color="auto" w:fill="FFFFFF"/>
          <w:lang w:val="sr-Latn-CS"/>
        </w:rPr>
        <w:t xml:space="preserve"> </w:t>
      </w:r>
      <w:r w:rsidR="006D0C3E">
        <w:rPr>
          <w:noProof/>
          <w:lang w:val="sr-Latn-CS"/>
        </w:rPr>
        <w:t>koristi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podatke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iz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posebnih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biračkih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spiskova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pripadnika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nacionalnih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manjina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u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svrhe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koje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to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nije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dozvoljeno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zakonom</w:t>
      </w:r>
      <w:r w:rsidRPr="006D0C3E">
        <w:rPr>
          <w:noProof/>
          <w:lang w:val="sr-Latn-CS"/>
        </w:rPr>
        <w:t xml:space="preserve">, </w:t>
      </w:r>
      <w:r w:rsidR="006D0C3E">
        <w:rPr>
          <w:noProof/>
          <w:lang w:val="sr-Latn-CS"/>
        </w:rPr>
        <w:t>već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ako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obezbedi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dostavljanje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akata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nadležnom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pokrajinskom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organu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uprave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ako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obezbedi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tačnost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ažurnost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biračkog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spiska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u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smislu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ovog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 xml:space="preserve">. </w:t>
      </w:r>
      <w:r w:rsidR="006D0C3E">
        <w:rPr>
          <w:noProof/>
          <w:lang w:val="sr-Latn-CS"/>
        </w:rPr>
        <w:t>Takođe</w:t>
      </w:r>
      <w:r w:rsidRPr="006D0C3E">
        <w:rPr>
          <w:noProof/>
          <w:lang w:val="sr-Latn-CS"/>
        </w:rPr>
        <w:t xml:space="preserve">, </w:t>
      </w:r>
      <w:r w:rsidR="006D0C3E">
        <w:rPr>
          <w:noProof/>
          <w:lang w:val="sr-Latn-CS"/>
        </w:rPr>
        <w:t>izmenama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obuhvaćen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iznos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novčanih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kazni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tako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da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njihov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raspon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povećan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do</w:t>
      </w:r>
      <w:r w:rsidRPr="006D0C3E">
        <w:rPr>
          <w:noProof/>
          <w:lang w:val="sr-Latn-CS"/>
        </w:rPr>
        <w:t xml:space="preserve"> 100.000 </w:t>
      </w:r>
      <w:r w:rsidR="006D0C3E">
        <w:rPr>
          <w:noProof/>
          <w:lang w:val="sr-Latn-CS"/>
        </w:rPr>
        <w:t>dinara</w:t>
      </w:r>
      <w:r w:rsidRPr="006D0C3E">
        <w:rPr>
          <w:noProof/>
          <w:lang w:val="sr-Latn-CS"/>
        </w:rPr>
        <w:t xml:space="preserve">. </w:t>
      </w:r>
      <w:r w:rsidR="006D0C3E">
        <w:rPr>
          <w:noProof/>
          <w:lang w:val="sr-Latn-CS"/>
        </w:rPr>
        <w:t>Članom</w:t>
      </w:r>
      <w:r w:rsidRPr="006D0C3E">
        <w:rPr>
          <w:noProof/>
          <w:lang w:val="sr-Latn-CS"/>
        </w:rPr>
        <w:t xml:space="preserve"> 48. </w:t>
      </w:r>
      <w:r w:rsidR="006D0C3E">
        <w:rPr>
          <w:noProof/>
          <w:lang w:val="sr-Latn-CS"/>
        </w:rPr>
        <w:t>Predloga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predviđena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izmena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člana</w:t>
      </w:r>
      <w:r w:rsidRPr="006D0C3E">
        <w:rPr>
          <w:noProof/>
          <w:lang w:val="sr-Latn-CS"/>
        </w:rPr>
        <w:t xml:space="preserve"> 127. </w:t>
      </w:r>
      <w:r w:rsidR="006D0C3E">
        <w:rPr>
          <w:noProof/>
          <w:lang w:val="sr-Latn-CS"/>
        </w:rPr>
        <w:t>važećeg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 xml:space="preserve">, </w:t>
      </w:r>
      <w:r w:rsidR="006D0C3E">
        <w:rPr>
          <w:noProof/>
          <w:lang w:val="sr-Latn-CS"/>
        </w:rPr>
        <w:t>tako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da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prekršaje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propisana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novčana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kazna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nacionalni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savet</w:t>
      </w:r>
      <w:r w:rsidRPr="006D0C3E">
        <w:rPr>
          <w:noProof/>
          <w:lang w:val="sr-Latn-CS"/>
        </w:rPr>
        <w:t xml:space="preserve">, </w:t>
      </w:r>
      <w:r w:rsidR="006D0C3E">
        <w:rPr>
          <w:noProof/>
          <w:lang w:val="sr-Latn-CS"/>
        </w:rPr>
        <w:t>odnosno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odgovorno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lice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u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nacionalnom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savetu</w:t>
      </w:r>
      <w:r w:rsidRPr="006D0C3E">
        <w:rPr>
          <w:noProof/>
          <w:lang w:val="sr-Latn-CS"/>
        </w:rPr>
        <w:t xml:space="preserve">, </w:t>
      </w:r>
      <w:r w:rsidR="006D0C3E">
        <w:rPr>
          <w:noProof/>
          <w:lang w:val="sr-Latn-CS"/>
        </w:rPr>
        <w:t>ako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ne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postupe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po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članu</w:t>
      </w:r>
      <w:r w:rsidRPr="006D0C3E">
        <w:rPr>
          <w:noProof/>
          <w:lang w:val="sr-Latn-CS"/>
        </w:rPr>
        <w:t xml:space="preserve"> 4</w:t>
      </w:r>
      <w:r w:rsidR="006D0C3E">
        <w:rPr>
          <w:noProof/>
          <w:lang w:val="sr-Latn-CS"/>
        </w:rPr>
        <w:t>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stav</w:t>
      </w:r>
      <w:r w:rsidRPr="006D0C3E">
        <w:rPr>
          <w:noProof/>
          <w:lang w:val="sr-Latn-CS"/>
        </w:rPr>
        <w:t xml:space="preserve"> 1, </w:t>
      </w:r>
      <w:r w:rsidR="006D0C3E">
        <w:rPr>
          <w:noProof/>
          <w:lang w:val="sr-Latn-CS"/>
        </w:rPr>
        <w:t>članu</w:t>
      </w:r>
      <w:r w:rsidRPr="006D0C3E">
        <w:rPr>
          <w:noProof/>
          <w:lang w:val="sr-Latn-CS"/>
        </w:rPr>
        <w:t xml:space="preserve"> 6. </w:t>
      </w:r>
      <w:r w:rsidR="006D0C3E">
        <w:rPr>
          <w:noProof/>
          <w:lang w:val="sr-Latn-CS"/>
        </w:rPr>
        <w:t>stav</w:t>
      </w:r>
      <w:r w:rsidRPr="006D0C3E">
        <w:rPr>
          <w:noProof/>
          <w:lang w:val="sr-Latn-CS"/>
        </w:rPr>
        <w:t xml:space="preserve"> 6, </w:t>
      </w:r>
      <w:r w:rsidR="006D0C3E">
        <w:rPr>
          <w:noProof/>
          <w:lang w:val="sr-Latn-CS"/>
        </w:rPr>
        <w:t>članu</w:t>
      </w:r>
      <w:r w:rsidRPr="006D0C3E">
        <w:rPr>
          <w:noProof/>
          <w:lang w:val="sr-Latn-CS"/>
        </w:rPr>
        <w:t xml:space="preserve"> 8. </w:t>
      </w:r>
      <w:r w:rsidR="006D0C3E">
        <w:rPr>
          <w:noProof/>
          <w:lang w:val="sr-Latn-CS"/>
        </w:rPr>
        <w:t>stav</w:t>
      </w:r>
      <w:r w:rsidRPr="006D0C3E">
        <w:rPr>
          <w:noProof/>
          <w:lang w:val="sr-Latn-CS"/>
        </w:rPr>
        <w:t xml:space="preserve"> 2, </w:t>
      </w:r>
      <w:r w:rsidR="006D0C3E">
        <w:rPr>
          <w:noProof/>
          <w:lang w:val="sr-Latn-CS"/>
        </w:rPr>
        <w:t>članu</w:t>
      </w:r>
      <w:r w:rsidRPr="006D0C3E">
        <w:rPr>
          <w:noProof/>
          <w:lang w:val="sr-Latn-CS"/>
        </w:rPr>
        <w:t xml:space="preserve"> 26. </w:t>
      </w:r>
      <w:r w:rsidR="006D0C3E">
        <w:rPr>
          <w:noProof/>
          <w:lang w:val="sr-Latn-CS"/>
        </w:rPr>
        <w:t>stav</w:t>
      </w:r>
      <w:r w:rsidRPr="006D0C3E">
        <w:rPr>
          <w:noProof/>
          <w:lang w:val="sr-Latn-CS"/>
        </w:rPr>
        <w:t xml:space="preserve"> 2 </w:t>
      </w:r>
      <w:r w:rsidR="006D0C3E">
        <w:rPr>
          <w:noProof/>
          <w:lang w:val="sr-Latn-CS"/>
        </w:rPr>
        <w:t>i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suprotno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odredbama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člana</w:t>
      </w:r>
      <w:r w:rsidRPr="006D0C3E">
        <w:rPr>
          <w:noProof/>
          <w:lang w:val="sr-Latn-CS"/>
        </w:rPr>
        <w:t xml:space="preserve"> 120. </w:t>
      </w:r>
      <w:r w:rsidR="006D0C3E">
        <w:rPr>
          <w:noProof/>
          <w:lang w:val="sr-Latn-CS"/>
        </w:rPr>
        <w:t>stav</w:t>
      </w:r>
      <w:r w:rsidRPr="006D0C3E">
        <w:rPr>
          <w:noProof/>
          <w:lang w:val="sr-Latn-CS"/>
        </w:rPr>
        <w:t xml:space="preserve"> 2 </w:t>
      </w:r>
      <w:r w:rsidR="006D0C3E">
        <w:rPr>
          <w:noProof/>
          <w:lang w:val="sr-Latn-CS"/>
        </w:rPr>
        <w:t>ovog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 xml:space="preserve">. </w:t>
      </w:r>
      <w:r w:rsidR="006D0C3E">
        <w:rPr>
          <w:noProof/>
          <w:lang w:val="sr-Latn-CS"/>
        </w:rPr>
        <w:t>Članom</w:t>
      </w:r>
      <w:r w:rsidRPr="006D0C3E">
        <w:rPr>
          <w:noProof/>
          <w:lang w:val="sr-Latn-CS"/>
        </w:rPr>
        <w:t xml:space="preserve"> 49. </w:t>
      </w:r>
      <w:r w:rsidR="006D0C3E">
        <w:rPr>
          <w:noProof/>
          <w:lang w:val="sr-Latn-CS"/>
        </w:rPr>
        <w:t>Predviđeno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brisanje</w:t>
      </w:r>
      <w:r w:rsidRPr="006D0C3E">
        <w:rPr>
          <w:noProof/>
          <w:lang w:val="sr-Latn-CS"/>
        </w:rPr>
        <w:t xml:space="preserve"> </w:t>
      </w:r>
      <w:r w:rsidR="006D0C3E">
        <w:rPr>
          <w:noProof/>
          <w:lang w:val="sr-Latn-CS"/>
        </w:rPr>
        <w:t>člana</w:t>
      </w:r>
      <w:r w:rsidRPr="006D0C3E">
        <w:rPr>
          <w:noProof/>
          <w:lang w:val="sr-Latn-CS"/>
        </w:rPr>
        <w:t xml:space="preserve"> 128. </w:t>
      </w:r>
      <w:r w:rsidR="006D0C3E">
        <w:rPr>
          <w:noProof/>
          <w:lang w:val="sr-Latn-CS"/>
        </w:rPr>
        <w:t>Zakona</w:t>
      </w:r>
      <w:r w:rsidRPr="006D0C3E">
        <w:rPr>
          <w:noProof/>
          <w:lang w:val="sr-Latn-CS"/>
        </w:rPr>
        <w:t>.</w:t>
      </w:r>
    </w:p>
    <w:p w:rsidR="00E61F85" w:rsidRPr="006D0C3E" w:rsidRDefault="006D0C3E" w:rsidP="00D939F7">
      <w:pPr>
        <w:spacing w:after="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50.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ci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ln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nastavlja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poverena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tradicionalni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dakle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ispisivanje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jeziku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pismu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manjine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dugogodišnji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prepoznatljivost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E61F85" w:rsidRPr="006D0C3E">
        <w:rPr>
          <w:noProof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nastave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koriste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odrednicu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nazivu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reč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oderedbe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nespojivosti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konstituisanja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narednih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usklade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hAnsi="Times New Roman"/>
          <w:noProof/>
          <w:sz w:val="24"/>
          <w:szCs w:val="24"/>
          <w:lang w:val="sr-Latn-CS"/>
        </w:rPr>
        <w:t>vlašćenja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predsednika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izvršnog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odbora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javnost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statuta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kojoj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osnivač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e o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spit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nj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/>
          <w:noProof/>
          <w:sz w:val="24"/>
          <w:szCs w:val="24"/>
          <w:lang w:val="sr-Latn-CS"/>
        </w:rPr>
        <w:t>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/>
          <w:noProof/>
          <w:sz w:val="24"/>
          <w:szCs w:val="24"/>
          <w:lang w:val="sr-Latn-CS"/>
        </w:rPr>
        <w:t>kulture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proglasio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manjinu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90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usaglasi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osnivački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budžetsko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početka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pokrajinske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takođe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prikupljanju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obrazaca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6, 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44.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4 ,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53.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102.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propiše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napomenu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podnosilac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potpisivanjem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obavešten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ličnosti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pristaje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obradu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spacing w:after="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51.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stupa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osmog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objavljivanja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Službenom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glasniku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”.</w:t>
      </w:r>
    </w:p>
    <w:p w:rsidR="00E61F85" w:rsidRPr="006D0C3E" w:rsidRDefault="00E61F85" w:rsidP="00D939F7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E61F85" w:rsidRPr="006D0C3E" w:rsidRDefault="00E61F85" w:rsidP="00D939F7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ab/>
        <w:t xml:space="preserve">IV.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FINANSIJSKA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POTREBNA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SPROVOĐENJE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E61F85" w:rsidRPr="006D0C3E" w:rsidRDefault="00E61F85" w:rsidP="00D939F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ab/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E61F85" w:rsidRPr="006D0C3E" w:rsidRDefault="00E61F85" w:rsidP="00D939F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I)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razdela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20 -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Ministarstvo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državne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uprave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glava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20.0 –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111-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Izvršni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zakonodavni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1001-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ljudskih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sloboda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aktivnosti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  0001 –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pripadnika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klasifikaciji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423 –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ugovoru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E61F85" w:rsidRPr="006D0C3E" w:rsidRDefault="00E61F85" w:rsidP="00D939F7">
      <w:pPr>
        <w:spacing w:after="0" w:line="240" w:lineRule="auto"/>
        <w:jc w:val="both"/>
        <w:rPr>
          <w:rFonts w:cs="Calibri"/>
          <w:noProof/>
          <w:lang w:val="sr-Latn-CS"/>
        </w:rPr>
      </w:pPr>
    </w:p>
    <w:p w:rsidR="00E61F85" w:rsidRPr="006D0C3E" w:rsidRDefault="006D0C3E" w:rsidP="00D939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noProof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4.800.000,00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aplikacije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PBS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Registar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</w:p>
    <w:p w:rsidR="00E61F85" w:rsidRPr="006D0C3E" w:rsidRDefault="00E61F85" w:rsidP="00D939F7">
      <w:pPr>
        <w:pStyle w:val="ListParagraph"/>
        <w:spacing w:after="0" w:line="240" w:lineRule="auto"/>
        <w:jc w:val="both"/>
        <w:rPr>
          <w:rFonts w:cs="Calibri"/>
          <w:noProof/>
          <w:lang w:val="sr-Latn-CS"/>
        </w:rPr>
      </w:pPr>
    </w:p>
    <w:p w:rsidR="00E61F85" w:rsidRPr="006D0C3E" w:rsidRDefault="006D0C3E" w:rsidP="00D939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noProof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720.000,00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štampanje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izvoda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biračkog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spiska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manjin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a.</w:t>
      </w:r>
    </w:p>
    <w:p w:rsidR="00E61F85" w:rsidRPr="006D0C3E" w:rsidRDefault="00E61F85" w:rsidP="00D939F7">
      <w:pPr>
        <w:pStyle w:val="ListParagraph"/>
        <w:rPr>
          <w:rFonts w:cs="Calibri"/>
          <w:noProof/>
          <w:lang w:val="sr-Latn-CS"/>
        </w:rPr>
      </w:pPr>
    </w:p>
    <w:p w:rsidR="00E61F85" w:rsidRPr="006D0C3E" w:rsidRDefault="00E61F85" w:rsidP="00D939F7">
      <w:pPr>
        <w:jc w:val="both"/>
        <w:rPr>
          <w:rFonts w:cs="Calibri"/>
          <w:noProof/>
          <w:lang w:val="sr-Latn-CS"/>
        </w:rPr>
      </w:pP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II)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razdela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 –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Vlada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glava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3.19 –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Kancelarija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ljudska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manjinska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prava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1001 –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ljudskih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manjinskih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prva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sloboda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funkcija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160 –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Opšte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javne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usluge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neklasifikovane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drugom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mestu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programska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aktivnost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0007 –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Unapređenje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položaja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ekonomskoj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klasifikaciji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481 –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Dotacije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nevladinim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organizacijama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E61F85" w:rsidRPr="006D0C3E" w:rsidRDefault="006D0C3E" w:rsidP="00D939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247.981.000,00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manjina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6D0C3E" w:rsidP="00D939F7">
      <w:pPr>
        <w:spacing w:after="0" w:line="240" w:lineRule="auto"/>
        <w:ind w:firstLine="360"/>
        <w:jc w:val="both"/>
        <w:rPr>
          <w:rFonts w:cs="Calibri"/>
          <w:noProof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2020.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biće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opredeljena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bilansnim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mogućnostima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limita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određenih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finanasija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potrebe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Ministarstva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Kancelarije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ljudska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manjinska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E61F85"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F6287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E61F85" w:rsidRPr="006D0C3E" w:rsidRDefault="00E61F85" w:rsidP="00F62876">
      <w:pPr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V.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HITNOM</w:t>
      </w:r>
      <w:r w:rsidRPr="006D0C3E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b/>
          <w:noProof/>
          <w:sz w:val="24"/>
          <w:szCs w:val="24"/>
          <w:lang w:val="sr-Latn-CS"/>
        </w:rPr>
        <w:t>POSTUPKU</w:t>
      </w:r>
    </w:p>
    <w:p w:rsidR="00E61F85" w:rsidRPr="006D0C3E" w:rsidRDefault="00E61F85" w:rsidP="00D939F7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   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budući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njegovo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nedonošenje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moglo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prouzrokuje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štetne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posledice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rad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upravnih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Republici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Srbiji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E61F85" w:rsidRPr="006D0C3E" w:rsidRDefault="00E61F85" w:rsidP="00D939F7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6D0C3E">
        <w:rPr>
          <w:rFonts w:ascii="Times New Roman" w:hAnsi="Times New Roman"/>
          <w:noProof/>
          <w:sz w:val="24"/>
          <w:szCs w:val="24"/>
          <w:lang w:val="sr-Latn-CS"/>
        </w:rPr>
        <w:tab/>
        <w:t xml:space="preserve">   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postojećim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utvrđena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redovnih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članove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treba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održe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2018.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godini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sprovede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omogućilo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nesmetano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konstituisanje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nacionalnih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D0C3E">
        <w:rPr>
          <w:rFonts w:ascii="Times New Roman" w:hAnsi="Times New Roman"/>
          <w:noProof/>
          <w:sz w:val="24"/>
          <w:szCs w:val="24"/>
          <w:lang w:val="sr-Latn-CS"/>
        </w:rPr>
        <w:t>saveta</w:t>
      </w:r>
      <w:r w:rsidRPr="006D0C3E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61F85" w:rsidRPr="006D0C3E" w:rsidRDefault="00E61F85" w:rsidP="00D939F7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 w:rsidP="00D939F7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61F85" w:rsidRPr="006D0C3E" w:rsidRDefault="00E61F85">
      <w:pPr>
        <w:rPr>
          <w:noProof/>
          <w:lang w:val="sr-Latn-CS"/>
        </w:rPr>
      </w:pPr>
    </w:p>
    <w:sectPr w:rsidR="00E61F85" w:rsidRPr="006D0C3E" w:rsidSect="00F62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54" w:rsidRDefault="00D81E54">
      <w:r>
        <w:separator/>
      </w:r>
    </w:p>
  </w:endnote>
  <w:endnote w:type="continuationSeparator" w:id="0">
    <w:p w:rsidR="00D81E54" w:rsidRDefault="00D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5" w:rsidRDefault="00E61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5" w:rsidRDefault="00E61F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5" w:rsidRDefault="00E61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54" w:rsidRDefault="00D81E54">
      <w:r>
        <w:separator/>
      </w:r>
    </w:p>
  </w:footnote>
  <w:footnote w:type="continuationSeparator" w:id="0">
    <w:p w:rsidR="00D81E54" w:rsidRDefault="00D8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5" w:rsidRDefault="00E61F85" w:rsidP="005C5D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F85" w:rsidRDefault="00E61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5" w:rsidRPr="006D0C3E" w:rsidRDefault="00E61F85" w:rsidP="005C5D43">
    <w:pPr>
      <w:pStyle w:val="Header"/>
      <w:framePr w:wrap="around" w:vAnchor="text" w:hAnchor="margin" w:xAlign="center" w:y="1"/>
      <w:rPr>
        <w:rStyle w:val="PageNumber"/>
        <w:noProof/>
        <w:lang w:val="sr-Latn-CS"/>
      </w:rPr>
    </w:pPr>
    <w:r w:rsidRPr="006D0C3E">
      <w:rPr>
        <w:rStyle w:val="PageNumber"/>
        <w:noProof/>
        <w:lang w:val="sr-Latn-CS"/>
      </w:rPr>
      <w:fldChar w:fldCharType="begin"/>
    </w:r>
    <w:r w:rsidRPr="006D0C3E">
      <w:rPr>
        <w:rStyle w:val="PageNumber"/>
        <w:noProof/>
        <w:lang w:val="sr-Latn-CS"/>
      </w:rPr>
      <w:instrText xml:space="preserve">PAGE  </w:instrText>
    </w:r>
    <w:r w:rsidRPr="006D0C3E">
      <w:rPr>
        <w:rStyle w:val="PageNumber"/>
        <w:noProof/>
        <w:lang w:val="sr-Latn-CS"/>
      </w:rPr>
      <w:fldChar w:fldCharType="separate"/>
    </w:r>
    <w:r w:rsidR="006D0C3E">
      <w:rPr>
        <w:rStyle w:val="PageNumber"/>
        <w:noProof/>
        <w:lang w:val="sr-Latn-CS"/>
      </w:rPr>
      <w:t>2</w:t>
    </w:r>
    <w:r w:rsidRPr="006D0C3E">
      <w:rPr>
        <w:rStyle w:val="PageNumber"/>
        <w:noProof/>
        <w:lang w:val="sr-Latn-CS"/>
      </w:rPr>
      <w:fldChar w:fldCharType="end"/>
    </w:r>
  </w:p>
  <w:p w:rsidR="00E61F85" w:rsidRPr="006D0C3E" w:rsidRDefault="00E61F85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85" w:rsidRDefault="00E61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42096"/>
    <w:multiLevelType w:val="hybridMultilevel"/>
    <w:tmpl w:val="B122FE6E"/>
    <w:lvl w:ilvl="0" w:tplc="3CBAF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9F7"/>
    <w:rsid w:val="00031880"/>
    <w:rsid w:val="000D10BD"/>
    <w:rsid w:val="000D15A6"/>
    <w:rsid w:val="002458F4"/>
    <w:rsid w:val="002F3CE8"/>
    <w:rsid w:val="003641FC"/>
    <w:rsid w:val="00371071"/>
    <w:rsid w:val="003B3661"/>
    <w:rsid w:val="003E0C66"/>
    <w:rsid w:val="004C7926"/>
    <w:rsid w:val="005252D8"/>
    <w:rsid w:val="005C5D43"/>
    <w:rsid w:val="006D0C3E"/>
    <w:rsid w:val="00740C7A"/>
    <w:rsid w:val="00767878"/>
    <w:rsid w:val="0078196F"/>
    <w:rsid w:val="008A4415"/>
    <w:rsid w:val="008A750C"/>
    <w:rsid w:val="008B2DDA"/>
    <w:rsid w:val="00995C3B"/>
    <w:rsid w:val="00A43053"/>
    <w:rsid w:val="00B42C5A"/>
    <w:rsid w:val="00BE2545"/>
    <w:rsid w:val="00C13FAD"/>
    <w:rsid w:val="00D00CAD"/>
    <w:rsid w:val="00D041AB"/>
    <w:rsid w:val="00D54804"/>
    <w:rsid w:val="00D81E54"/>
    <w:rsid w:val="00D939F7"/>
    <w:rsid w:val="00DC1315"/>
    <w:rsid w:val="00DD2036"/>
    <w:rsid w:val="00E61F85"/>
    <w:rsid w:val="00ED6043"/>
    <w:rsid w:val="00F62876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0814684-AC2C-4257-BF2A-567E8083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9F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39F7"/>
    <w:pPr>
      <w:ind w:left="720"/>
      <w:contextualSpacing/>
    </w:pPr>
  </w:style>
  <w:style w:type="paragraph" w:customStyle="1" w:styleId="Normal1">
    <w:name w:val="Normal1"/>
    <w:basedOn w:val="Normal"/>
    <w:uiPriority w:val="99"/>
    <w:rsid w:val="00D93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62876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rsid w:val="00BF2408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F62876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rsid w:val="00BF2408"/>
    <w:rPr>
      <w:rFonts w:eastAsia="Times New Roman"/>
    </w:rPr>
  </w:style>
  <w:style w:type="character" w:styleId="PageNumber">
    <w:name w:val="page number"/>
    <w:uiPriority w:val="99"/>
    <w:rsid w:val="00F628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7396</Words>
  <Characters>42159</Characters>
  <Application>Microsoft Office Word</Application>
  <DocSecurity>0</DocSecurity>
  <Lines>351</Lines>
  <Paragraphs>98</Paragraphs>
  <ScaleCrop>false</ScaleCrop>
  <Company/>
  <LinksUpToDate>false</LinksUpToDate>
  <CharactersWithSpaces>49457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Polic</dc:creator>
  <cp:keywords/>
  <dc:description/>
  <cp:lastModifiedBy>Nenad Zdraljevic</cp:lastModifiedBy>
  <cp:revision>7</cp:revision>
  <dcterms:created xsi:type="dcterms:W3CDTF">2018-06-01T06:43:00Z</dcterms:created>
  <dcterms:modified xsi:type="dcterms:W3CDTF">2018-06-04T09:58:00Z</dcterms:modified>
</cp:coreProperties>
</file>